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1F" w:rsidRDefault="003C76B0">
      <w:pPr>
        <w:pStyle w:val="a3"/>
        <w:widowControl/>
        <w:shd w:val="clear" w:color="auto" w:fill="FFFFFF"/>
        <w:spacing w:beforeAutospacing="0" w:afterAutospacing="0" w:line="480" w:lineRule="atLeast"/>
        <w:ind w:firstLine="384"/>
        <w:jc w:val="center"/>
        <w:rPr>
          <w:color w:val="666666"/>
          <w:sz w:val="44"/>
          <w:szCs w:val="44"/>
        </w:rPr>
      </w:pPr>
      <w:bookmarkStart w:id="0" w:name="_GoBack"/>
      <w:bookmarkEnd w:id="0"/>
      <w:r>
        <w:rPr>
          <w:rFonts w:ascii="方正小标宋简体" w:eastAsia="方正小标宋简体" w:hAnsi="方正小标宋简体" w:cs="方正小标宋简体" w:hint="eastAsia"/>
          <w:color w:val="666666"/>
          <w:sz w:val="44"/>
          <w:szCs w:val="44"/>
          <w:shd w:val="clear" w:color="auto" w:fill="FFFFFF"/>
        </w:rPr>
        <w:t>镇安县</w:t>
      </w:r>
      <w:r w:rsidR="001F60FB">
        <w:rPr>
          <w:rFonts w:ascii="方正小标宋简体" w:eastAsia="方正小标宋简体" w:hAnsi="方正小标宋简体" w:cs="方正小标宋简体"/>
          <w:color w:val="666666"/>
          <w:sz w:val="44"/>
          <w:szCs w:val="44"/>
          <w:shd w:val="clear" w:color="auto" w:fill="FFFFFF"/>
        </w:rPr>
        <w:t>农机购置补贴政策实施异常情况</w:t>
      </w:r>
    </w:p>
    <w:p w:rsidR="0043781F" w:rsidRDefault="001F60FB">
      <w:pPr>
        <w:pStyle w:val="a3"/>
        <w:widowControl/>
        <w:shd w:val="clear" w:color="auto" w:fill="FFFFFF"/>
        <w:spacing w:beforeAutospacing="0" w:afterAutospacing="0" w:line="480" w:lineRule="atLeast"/>
        <w:ind w:firstLine="384"/>
        <w:jc w:val="center"/>
        <w:rPr>
          <w:color w:val="666666"/>
          <w:sz w:val="44"/>
          <w:szCs w:val="44"/>
        </w:rPr>
      </w:pPr>
      <w:r>
        <w:rPr>
          <w:rFonts w:ascii="方正小标宋简体" w:eastAsia="方正小标宋简体" w:hAnsi="方正小标宋简体" w:cs="方正小标宋简体"/>
          <w:color w:val="666666"/>
          <w:sz w:val="44"/>
          <w:szCs w:val="44"/>
          <w:shd w:val="clear" w:color="auto" w:fill="FFFFFF"/>
        </w:rPr>
        <w:t>报告处理制度</w:t>
      </w:r>
    </w:p>
    <w:p w:rsidR="0043781F" w:rsidRDefault="001F60FB">
      <w:pPr>
        <w:pStyle w:val="a3"/>
        <w:widowControl/>
        <w:shd w:val="clear" w:color="auto" w:fill="FFFFFF"/>
        <w:spacing w:beforeAutospacing="0" w:afterAutospacing="0" w:line="480" w:lineRule="atLeast"/>
        <w:ind w:firstLine="384"/>
        <w:jc w:val="center"/>
        <w:rPr>
          <w:color w:val="666666"/>
          <w:sz w:val="16"/>
          <w:szCs w:val="16"/>
        </w:rPr>
      </w:pPr>
      <w:r>
        <w:rPr>
          <w:rFonts w:ascii="微软雅黑" w:eastAsia="微软雅黑" w:hAnsi="微软雅黑" w:cs="微软雅黑"/>
          <w:color w:val="666666"/>
          <w:sz w:val="34"/>
          <w:szCs w:val="34"/>
          <w:shd w:val="clear" w:color="auto" w:fill="FFFFFF"/>
        </w:rPr>
        <w:t> </w:t>
      </w:r>
    </w:p>
    <w:p w:rsidR="0043781F" w:rsidRDefault="001F60FB">
      <w:pPr>
        <w:pStyle w:val="a3"/>
        <w:widowControl/>
        <w:shd w:val="clear" w:color="auto" w:fill="FFFFFF"/>
        <w:spacing w:beforeAutospacing="0" w:afterAutospacing="0" w:line="480" w:lineRule="atLeast"/>
        <w:ind w:firstLine="516"/>
        <w:rPr>
          <w:color w:val="666666"/>
          <w:sz w:val="32"/>
          <w:szCs w:val="32"/>
        </w:rPr>
      </w:pPr>
      <w:r>
        <w:rPr>
          <w:rFonts w:ascii="仿宋_GB2312" w:eastAsia="仿宋_GB2312" w:hAnsi="微软雅黑" w:cs="仿宋_GB2312"/>
          <w:color w:val="666666"/>
          <w:sz w:val="32"/>
          <w:szCs w:val="32"/>
          <w:shd w:val="clear" w:color="auto" w:fill="FFFFFF"/>
        </w:rPr>
        <w:t>第一条、为规范实施农机购置补贴政策，及时发现农机购置补贴机具核验、违规处理等关键环节实施过程中的异常情况，严厉打击农机购置补贴工作中的违规行为，根据《陕西省农业农村厅办公室关于做好农机购置补贴政策实施异常情形报告工作的通知》</w:t>
      </w:r>
      <w:r>
        <w:rPr>
          <w:rFonts w:ascii="仿宋_GB2312" w:eastAsia="仿宋_GB2312" w:hAnsi="微软雅黑" w:cs="仿宋_GB2312"/>
          <w:color w:val="666666"/>
          <w:sz w:val="32"/>
          <w:szCs w:val="32"/>
          <w:shd w:val="clear" w:color="auto" w:fill="FFFFFF"/>
        </w:rPr>
        <w:t>（陕农办发</w:t>
      </w:r>
      <w:r>
        <w:rPr>
          <w:rFonts w:ascii="宋体" w:eastAsia="宋体" w:hAnsi="宋体" w:cs="宋体" w:hint="eastAsia"/>
          <w:color w:val="666666"/>
          <w:sz w:val="32"/>
          <w:szCs w:val="32"/>
          <w:shd w:val="clear" w:color="auto" w:fill="FFFFFF"/>
        </w:rPr>
        <w:t>〔</w:t>
      </w:r>
      <w:r>
        <w:rPr>
          <w:rFonts w:ascii="宋体" w:eastAsia="宋体" w:hAnsi="宋体" w:cs="宋体" w:hint="eastAsia"/>
          <w:color w:val="666666"/>
          <w:sz w:val="32"/>
          <w:szCs w:val="32"/>
          <w:shd w:val="clear" w:color="auto" w:fill="FFFFFF"/>
        </w:rPr>
        <w:t>2021</w:t>
      </w:r>
      <w:r>
        <w:rPr>
          <w:rFonts w:ascii="宋体" w:eastAsia="宋体" w:hAnsi="宋体" w:cs="宋体" w:hint="eastAsia"/>
          <w:color w:val="666666"/>
          <w:sz w:val="32"/>
          <w:szCs w:val="32"/>
          <w:shd w:val="clear" w:color="auto" w:fill="FFFFFF"/>
        </w:rPr>
        <w:t>〕</w:t>
      </w:r>
      <w:r>
        <w:rPr>
          <w:rFonts w:ascii="宋体" w:eastAsia="宋体" w:hAnsi="宋体" w:cs="宋体" w:hint="eastAsia"/>
          <w:color w:val="666666"/>
          <w:sz w:val="32"/>
          <w:szCs w:val="32"/>
          <w:shd w:val="clear" w:color="auto" w:fill="FFFFFF"/>
        </w:rPr>
        <w:t>172</w:t>
      </w:r>
      <w:r>
        <w:rPr>
          <w:rFonts w:ascii="宋体" w:eastAsia="宋体" w:hAnsi="宋体" w:cs="宋体" w:hint="eastAsia"/>
          <w:color w:val="666666"/>
          <w:sz w:val="32"/>
          <w:szCs w:val="32"/>
          <w:shd w:val="clear" w:color="auto" w:fill="FFFFFF"/>
        </w:rPr>
        <w:t>号</w:t>
      </w:r>
      <w:r>
        <w:rPr>
          <w:rFonts w:ascii="仿宋_GB2312" w:eastAsia="仿宋_GB2312" w:hAnsi="微软雅黑" w:cs="仿宋_GB2312"/>
          <w:color w:val="666666"/>
          <w:sz w:val="32"/>
          <w:szCs w:val="32"/>
          <w:shd w:val="clear" w:color="auto" w:fill="FFFFFF"/>
        </w:rPr>
        <w:t>），制定本制度。</w:t>
      </w:r>
    </w:p>
    <w:p w:rsidR="0043781F" w:rsidRDefault="001F60FB">
      <w:pPr>
        <w:pStyle w:val="a3"/>
        <w:widowControl/>
        <w:shd w:val="clear" w:color="auto" w:fill="FFFFFF"/>
        <w:spacing w:beforeAutospacing="0" w:afterAutospacing="0" w:line="480" w:lineRule="atLeast"/>
        <w:ind w:firstLine="516"/>
        <w:jc w:val="both"/>
        <w:rPr>
          <w:color w:val="666666"/>
          <w:sz w:val="32"/>
          <w:szCs w:val="32"/>
        </w:rPr>
      </w:pPr>
      <w:r>
        <w:rPr>
          <w:rFonts w:ascii="仿宋_GB2312" w:eastAsia="仿宋_GB2312" w:hAnsi="微软雅黑" w:cs="仿宋_GB2312"/>
          <w:color w:val="666666"/>
          <w:sz w:val="32"/>
          <w:szCs w:val="32"/>
          <w:shd w:val="clear" w:color="auto" w:fill="FFFFFF"/>
        </w:rPr>
        <w:t>第二条、本制度所指异常情况，是指县域内农机购置补贴各参与单位在农机购置补贴工作实施过程中，发现农机购置补贴机具核验、违规处理等关键环节存在违反中、省、市、县农机购置补贴政策规定的异常情况。</w:t>
      </w:r>
    </w:p>
    <w:p w:rsidR="0043781F" w:rsidRDefault="001F60FB">
      <w:pPr>
        <w:pStyle w:val="a3"/>
        <w:widowControl/>
        <w:shd w:val="clear" w:color="auto" w:fill="FFFFFF"/>
        <w:spacing w:beforeAutospacing="0" w:afterAutospacing="0" w:line="480" w:lineRule="atLeast"/>
        <w:ind w:firstLine="516"/>
        <w:rPr>
          <w:color w:val="666666"/>
          <w:sz w:val="32"/>
          <w:szCs w:val="32"/>
        </w:rPr>
      </w:pPr>
      <w:r>
        <w:rPr>
          <w:rFonts w:ascii="仿宋_GB2312" w:eastAsia="仿宋_GB2312" w:hAnsi="微软雅黑" w:cs="仿宋_GB2312"/>
          <w:color w:val="666666"/>
          <w:sz w:val="32"/>
          <w:szCs w:val="32"/>
          <w:shd w:val="clear" w:color="auto" w:fill="FFFFFF"/>
        </w:rPr>
        <w:t>第三条、农机购置补贴违规行为主体：包括参与农机购置补贴政策落实的相关部门工作人员、补贴机具产销企业经营者及补贴参与者，和配合产销企业进行虚假购机的补贴申请者。</w:t>
      </w:r>
    </w:p>
    <w:p w:rsidR="0043781F" w:rsidRDefault="001F60FB">
      <w:pPr>
        <w:pStyle w:val="a3"/>
        <w:widowControl/>
        <w:shd w:val="clear" w:color="auto" w:fill="FFFFFF"/>
        <w:spacing w:beforeAutospacing="0" w:afterAutospacing="0" w:line="480" w:lineRule="atLeast"/>
        <w:ind w:firstLine="516"/>
        <w:rPr>
          <w:color w:val="666666"/>
          <w:sz w:val="32"/>
          <w:szCs w:val="32"/>
        </w:rPr>
      </w:pPr>
      <w:r>
        <w:rPr>
          <w:rFonts w:ascii="仿宋_GB2312" w:eastAsia="仿宋_GB2312" w:hAnsi="微软雅黑" w:cs="仿宋_GB2312"/>
          <w:color w:val="666666"/>
          <w:sz w:val="32"/>
          <w:szCs w:val="32"/>
          <w:shd w:val="clear" w:color="auto" w:fill="FFFFFF"/>
        </w:rPr>
        <w:t>第四条、各农机购置补贴参与单位发现有以下异常情况，要及时上报县农机主管部门。</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（一）补贴机具核验环节</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w:t>
      </w:r>
      <w:r>
        <w:rPr>
          <w:rFonts w:ascii="仿宋_GB2312" w:eastAsia="仿宋_GB2312" w:hAnsi="微软雅黑" w:cs="仿宋_GB2312"/>
          <w:color w:val="666666"/>
          <w:sz w:val="32"/>
          <w:szCs w:val="32"/>
          <w:shd w:val="clear" w:color="auto" w:fill="FFFFFF"/>
        </w:rPr>
        <w:t>购机发票显示购机者与实际购机者不一致的；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2.</w:t>
      </w:r>
      <w:r>
        <w:rPr>
          <w:rFonts w:ascii="仿宋_GB2312" w:eastAsia="仿宋_GB2312" w:hAnsi="微软雅黑" w:cs="仿宋_GB2312"/>
          <w:color w:val="666666"/>
          <w:sz w:val="32"/>
          <w:szCs w:val="32"/>
          <w:shd w:val="clear" w:color="auto" w:fill="FFFFFF"/>
        </w:rPr>
        <w:t>购机发票金</w:t>
      </w:r>
      <w:r>
        <w:rPr>
          <w:rFonts w:ascii="仿宋_GB2312" w:eastAsia="仿宋_GB2312" w:hAnsi="微软雅黑" w:cs="仿宋_GB2312"/>
          <w:color w:val="666666"/>
          <w:sz w:val="32"/>
          <w:szCs w:val="32"/>
          <w:shd w:val="clear" w:color="auto" w:fill="FFFFFF"/>
        </w:rPr>
        <w:t>额与市场真实销售金额不一致的；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lastRenderedPageBreak/>
        <w:t>3.</w:t>
      </w:r>
      <w:r>
        <w:rPr>
          <w:rFonts w:ascii="仿宋_GB2312" w:eastAsia="仿宋_GB2312" w:hAnsi="微软雅黑" w:cs="仿宋_GB2312"/>
          <w:color w:val="666666"/>
          <w:sz w:val="32"/>
          <w:szCs w:val="32"/>
          <w:shd w:val="clear" w:color="auto" w:fill="FFFFFF"/>
        </w:rPr>
        <w:t>机具铭牌信息、实物信息与农机购置补贴申请办理服务系统所对应机具的信息不一致的；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4.</w:t>
      </w:r>
      <w:r>
        <w:rPr>
          <w:rFonts w:ascii="仿宋_GB2312" w:eastAsia="仿宋_GB2312" w:hAnsi="微软雅黑" w:cs="仿宋_GB2312"/>
          <w:color w:val="666666"/>
          <w:sz w:val="32"/>
          <w:szCs w:val="32"/>
          <w:shd w:val="clear" w:color="auto" w:fill="FFFFFF"/>
        </w:rPr>
        <w:t>机具铭牌、出厂编号非唯一或不符合要求的；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5.</w:t>
      </w:r>
      <w:r>
        <w:rPr>
          <w:rFonts w:ascii="仿宋_GB2312" w:eastAsia="仿宋_GB2312" w:hAnsi="微软雅黑" w:cs="仿宋_GB2312"/>
          <w:color w:val="666666"/>
          <w:sz w:val="32"/>
          <w:szCs w:val="32"/>
          <w:shd w:val="clear" w:color="auto" w:fill="FFFFFF"/>
        </w:rPr>
        <w:t>违反农机产品</w:t>
      </w:r>
      <w:r>
        <w:rPr>
          <w:rFonts w:ascii="微软雅黑" w:eastAsia="微软雅黑" w:hAnsi="微软雅黑" w:cs="微软雅黑" w:hint="eastAsia"/>
          <w:color w:val="666666"/>
          <w:sz w:val="32"/>
          <w:szCs w:val="32"/>
          <w:shd w:val="clear" w:color="auto" w:fill="FFFFFF"/>
        </w:rPr>
        <w:t>“</w:t>
      </w:r>
      <w:r>
        <w:rPr>
          <w:rFonts w:ascii="仿宋_GB2312" w:eastAsia="仿宋_GB2312" w:hAnsi="微软雅黑" w:cs="仿宋_GB2312"/>
          <w:color w:val="666666"/>
          <w:sz w:val="32"/>
          <w:szCs w:val="32"/>
          <w:shd w:val="clear" w:color="auto" w:fill="FFFFFF"/>
        </w:rPr>
        <w:t>三包</w:t>
      </w:r>
      <w:r>
        <w:rPr>
          <w:rFonts w:ascii="微软雅黑" w:eastAsia="微软雅黑" w:hAnsi="微软雅黑" w:cs="微软雅黑" w:hint="eastAsia"/>
          <w:color w:val="666666"/>
          <w:sz w:val="32"/>
          <w:szCs w:val="32"/>
          <w:shd w:val="clear" w:color="auto" w:fill="FFFFFF"/>
        </w:rPr>
        <w:t>”</w:t>
      </w:r>
      <w:r>
        <w:rPr>
          <w:rFonts w:ascii="仿宋_GB2312" w:eastAsia="仿宋_GB2312" w:hAnsi="微软雅黑" w:cs="仿宋_GB2312"/>
          <w:color w:val="666666"/>
          <w:sz w:val="32"/>
          <w:szCs w:val="32"/>
          <w:shd w:val="clear" w:color="auto" w:fill="FFFFFF"/>
        </w:rPr>
        <w:t>规定，不积极处置或引起投诉的；</w:t>
      </w:r>
    </w:p>
    <w:p w:rsidR="0043781F" w:rsidRDefault="001F60FB">
      <w:pPr>
        <w:pStyle w:val="a3"/>
        <w:widowControl/>
        <w:shd w:val="clear" w:color="auto" w:fill="FFFFFF"/>
        <w:spacing w:beforeAutospacing="0" w:afterAutospacing="0" w:line="480" w:lineRule="atLeast"/>
        <w:ind w:firstLine="516"/>
        <w:rPr>
          <w:color w:val="666666"/>
          <w:sz w:val="32"/>
          <w:szCs w:val="32"/>
        </w:rPr>
      </w:pPr>
      <w:r>
        <w:rPr>
          <w:rFonts w:ascii="仿宋_GB2312" w:eastAsia="仿宋_GB2312" w:hAnsi="微软雅黑" w:cs="仿宋_GB2312"/>
          <w:color w:val="666666"/>
          <w:sz w:val="32"/>
          <w:szCs w:val="32"/>
          <w:shd w:val="clear" w:color="auto" w:fill="FFFFFF"/>
        </w:rPr>
        <w:t>6.</w:t>
      </w:r>
      <w:r>
        <w:rPr>
          <w:rFonts w:ascii="仿宋_GB2312" w:eastAsia="仿宋_GB2312" w:hAnsi="微软雅黑" w:cs="仿宋_GB2312"/>
          <w:color w:val="666666"/>
          <w:sz w:val="32"/>
          <w:szCs w:val="32"/>
          <w:shd w:val="clear" w:color="auto" w:fill="FFFFFF"/>
        </w:rPr>
        <w:t>单人多台套申请补贴的；</w:t>
      </w:r>
    </w:p>
    <w:p w:rsidR="0043781F" w:rsidRDefault="001F60FB">
      <w:pPr>
        <w:pStyle w:val="a3"/>
        <w:widowControl/>
        <w:shd w:val="clear" w:color="auto" w:fill="FFFFFF"/>
        <w:spacing w:beforeAutospacing="0" w:afterAutospacing="0" w:line="480" w:lineRule="atLeast"/>
        <w:ind w:firstLine="516"/>
        <w:rPr>
          <w:color w:val="666666"/>
          <w:sz w:val="32"/>
          <w:szCs w:val="32"/>
        </w:rPr>
      </w:pPr>
      <w:r>
        <w:rPr>
          <w:rFonts w:ascii="仿宋_GB2312" w:eastAsia="仿宋_GB2312" w:hAnsi="微软雅黑" w:cs="仿宋_GB2312"/>
          <w:color w:val="666666"/>
          <w:sz w:val="32"/>
          <w:szCs w:val="32"/>
          <w:shd w:val="clear" w:color="auto" w:fill="FFFFFF"/>
        </w:rPr>
        <w:t>7.</w:t>
      </w:r>
      <w:r>
        <w:rPr>
          <w:rFonts w:ascii="仿宋_GB2312" w:eastAsia="仿宋_GB2312" w:hAnsi="微软雅黑" w:cs="仿宋_GB2312"/>
          <w:color w:val="666666"/>
          <w:sz w:val="32"/>
          <w:szCs w:val="32"/>
          <w:shd w:val="clear" w:color="auto" w:fill="FFFFFF"/>
        </w:rPr>
        <w:t>短期内大批量申请补贴的；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8.</w:t>
      </w:r>
      <w:r>
        <w:rPr>
          <w:rFonts w:ascii="仿宋_GB2312" w:eastAsia="仿宋_GB2312" w:hAnsi="微软雅黑" w:cs="仿宋_GB2312"/>
          <w:color w:val="666666"/>
          <w:sz w:val="32"/>
          <w:szCs w:val="32"/>
          <w:shd w:val="clear" w:color="auto" w:fill="FFFFFF"/>
        </w:rPr>
        <w:t>同人连年购置同类机具申请补贴的；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9.</w:t>
      </w:r>
      <w:r>
        <w:rPr>
          <w:rFonts w:ascii="仿宋_GB2312" w:eastAsia="仿宋_GB2312" w:hAnsi="微软雅黑" w:cs="仿宋_GB2312"/>
          <w:color w:val="666666"/>
          <w:sz w:val="32"/>
          <w:szCs w:val="32"/>
          <w:shd w:val="clear" w:color="auto" w:fill="FFFFFF"/>
        </w:rPr>
        <w:t>区域适应性差的机具申请补贴的；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10.</w:t>
      </w:r>
      <w:r>
        <w:rPr>
          <w:rFonts w:ascii="仿宋_GB2312" w:eastAsia="仿宋_GB2312" w:hAnsi="微软雅黑" w:cs="仿宋_GB2312"/>
          <w:color w:val="666666"/>
          <w:sz w:val="32"/>
          <w:szCs w:val="32"/>
          <w:shd w:val="clear" w:color="auto" w:fill="FFFFFF"/>
        </w:rPr>
        <w:t>实际补贴比例明显偏高或接近预警比例的；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11.</w:t>
      </w:r>
      <w:r>
        <w:rPr>
          <w:rFonts w:ascii="仿宋_GB2312" w:eastAsia="仿宋_GB2312" w:hAnsi="微软雅黑" w:cs="仿宋_GB2312"/>
          <w:color w:val="666666"/>
          <w:sz w:val="32"/>
          <w:szCs w:val="32"/>
          <w:shd w:val="clear" w:color="auto" w:fill="FFFFFF"/>
        </w:rPr>
        <w:t>购机者出租、出借身份证、出租</w:t>
      </w:r>
      <w:r>
        <w:rPr>
          <w:rFonts w:ascii="微软雅黑" w:eastAsia="微软雅黑" w:hAnsi="微软雅黑" w:cs="微软雅黑" w:hint="eastAsia"/>
          <w:color w:val="666666"/>
          <w:sz w:val="32"/>
          <w:szCs w:val="32"/>
          <w:shd w:val="clear" w:color="auto" w:fill="FFFFFF"/>
        </w:rPr>
        <w:t>“</w:t>
      </w:r>
      <w:r>
        <w:rPr>
          <w:rFonts w:ascii="仿宋_GB2312" w:eastAsia="仿宋_GB2312" w:hAnsi="微软雅黑" w:cs="仿宋_GB2312"/>
          <w:color w:val="666666"/>
          <w:sz w:val="32"/>
          <w:szCs w:val="32"/>
          <w:shd w:val="clear" w:color="auto" w:fill="FFFFFF"/>
        </w:rPr>
        <w:t>惠民一卡通</w:t>
      </w:r>
      <w:r>
        <w:rPr>
          <w:rFonts w:ascii="微软雅黑" w:eastAsia="微软雅黑" w:hAnsi="微软雅黑" w:cs="微软雅黑" w:hint="eastAsia"/>
          <w:color w:val="666666"/>
          <w:sz w:val="32"/>
          <w:szCs w:val="32"/>
          <w:shd w:val="clear" w:color="auto" w:fill="FFFFFF"/>
        </w:rPr>
        <w:t>”</w:t>
      </w:r>
      <w:r>
        <w:rPr>
          <w:rFonts w:ascii="仿宋_GB2312" w:eastAsia="仿宋_GB2312" w:hAnsi="微软雅黑" w:cs="仿宋_GB2312"/>
          <w:color w:val="666666"/>
          <w:sz w:val="32"/>
          <w:szCs w:val="32"/>
          <w:shd w:val="clear" w:color="auto" w:fill="FFFFFF"/>
        </w:rPr>
        <w:t>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12.</w:t>
      </w:r>
      <w:r>
        <w:rPr>
          <w:rFonts w:ascii="仿宋_GB2312" w:eastAsia="仿宋_GB2312" w:hAnsi="微软雅黑" w:cs="仿宋_GB2312"/>
          <w:color w:val="666666"/>
          <w:sz w:val="32"/>
          <w:szCs w:val="32"/>
          <w:shd w:val="clear" w:color="auto" w:fill="FFFFFF"/>
        </w:rPr>
        <w:t>配合生产企业、经销企业进行虚假购机的；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13.</w:t>
      </w:r>
      <w:r>
        <w:rPr>
          <w:rFonts w:ascii="仿宋_GB2312" w:eastAsia="仿宋_GB2312" w:hAnsi="微软雅黑" w:cs="仿宋_GB2312"/>
          <w:color w:val="666666"/>
          <w:sz w:val="32"/>
          <w:szCs w:val="32"/>
          <w:shd w:val="clear" w:color="auto" w:fill="FFFFFF"/>
        </w:rPr>
        <w:t>长期闲置不用、作业量过少、拆解变卖、过早报废的。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（二）违规处理环节</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1.</w:t>
      </w:r>
      <w:r>
        <w:rPr>
          <w:rFonts w:ascii="仿宋_GB2312" w:eastAsia="仿宋_GB2312" w:hAnsi="微软雅黑" w:cs="仿宋_GB2312"/>
          <w:color w:val="666666"/>
          <w:sz w:val="32"/>
          <w:szCs w:val="32"/>
          <w:shd w:val="clear" w:color="auto" w:fill="FFFFFF"/>
        </w:rPr>
        <w:t>调查核实过程中确实有违规行为的；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2.</w:t>
      </w:r>
      <w:r>
        <w:rPr>
          <w:rFonts w:ascii="仿宋_GB2312" w:eastAsia="仿宋_GB2312" w:hAnsi="微软雅黑" w:cs="仿宋_GB2312"/>
          <w:color w:val="666666"/>
          <w:sz w:val="32"/>
          <w:szCs w:val="32"/>
          <w:shd w:val="clear" w:color="auto" w:fill="FFFFFF"/>
        </w:rPr>
        <w:t>调查核实过程中发现有其他违规行为的；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3.</w:t>
      </w:r>
      <w:r>
        <w:rPr>
          <w:rFonts w:ascii="仿宋_GB2312" w:eastAsia="仿宋_GB2312" w:hAnsi="微软雅黑" w:cs="仿宋_GB2312"/>
          <w:color w:val="666666"/>
          <w:sz w:val="32"/>
          <w:szCs w:val="32"/>
          <w:shd w:val="clear" w:color="auto" w:fill="FFFFFF"/>
        </w:rPr>
        <w:t>在约谈过程中不配合或发现有其他违规行为的；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4.</w:t>
      </w:r>
      <w:r>
        <w:rPr>
          <w:rFonts w:ascii="仿宋_GB2312" w:eastAsia="仿宋_GB2312" w:hAnsi="微软雅黑" w:cs="仿宋_GB2312"/>
          <w:color w:val="666666"/>
          <w:sz w:val="32"/>
          <w:szCs w:val="32"/>
          <w:shd w:val="clear" w:color="auto" w:fill="FFFFFF"/>
        </w:rPr>
        <w:t>违规产品有严重质量问题的；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5.</w:t>
      </w:r>
      <w:r>
        <w:rPr>
          <w:rFonts w:ascii="仿宋_GB2312" w:eastAsia="仿宋_GB2312" w:hAnsi="微软雅黑" w:cs="仿宋_GB2312"/>
          <w:color w:val="666666"/>
          <w:sz w:val="32"/>
          <w:szCs w:val="32"/>
          <w:shd w:val="clear" w:color="auto" w:fill="FFFFFF"/>
        </w:rPr>
        <w:t>相关企业和人员无法联系的。</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第五条、县农机部门发现异常情形或收到异常情形报告，应立即组织调查，按照问题具体情况，参考《农业机械购置补贴产品违规经营行为处理办法（试行）》进行约谈处置并</w:t>
      </w:r>
      <w:r>
        <w:rPr>
          <w:rFonts w:ascii="仿宋_GB2312" w:eastAsia="仿宋_GB2312" w:hAnsi="微软雅黑" w:cs="仿宋_GB2312"/>
          <w:color w:val="666666"/>
          <w:sz w:val="32"/>
          <w:szCs w:val="32"/>
          <w:shd w:val="clear" w:color="auto" w:fill="FFFFFF"/>
        </w:rPr>
        <w:lastRenderedPageBreak/>
        <w:t>上报上级主管部门备案，超出县级处理权限的，上报上级业务主管部门处理。</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第六条、农机购置补贴违规行为的处理涉及补贴实施各个环节，需要各实施主体共同参与、上下联动、协调配合、各司其职。</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第七条、农机购置补贴异常情况的调查、处理、上报应当遵循事实清楚、证据合法、认定准确、处理及时的原则。</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第八条、本制度适用于农机购置补贴实施各环节的各类异常情况处理，以及中、省、市农机购置补贴违规处理通报联动机制查处异常情况。</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第九条、查处异常情形时，发现涉及违法违纪的，报告上级业务部门同时移交相关部门处理。</w:t>
      </w:r>
    </w:p>
    <w:p w:rsidR="0043781F" w:rsidRDefault="001F60FB">
      <w:pPr>
        <w:pStyle w:val="a3"/>
        <w:widowControl/>
        <w:shd w:val="clear" w:color="auto" w:fill="FFFFFF"/>
        <w:spacing w:beforeAutospacing="0" w:afterAutospacing="0" w:line="480" w:lineRule="atLeast"/>
        <w:ind w:firstLine="504"/>
        <w:rPr>
          <w:color w:val="666666"/>
          <w:sz w:val="32"/>
          <w:szCs w:val="32"/>
        </w:rPr>
      </w:pPr>
      <w:r>
        <w:rPr>
          <w:rFonts w:ascii="仿宋_GB2312" w:eastAsia="仿宋_GB2312" w:hAnsi="微软雅黑" w:cs="仿宋_GB2312"/>
          <w:color w:val="666666"/>
          <w:sz w:val="32"/>
          <w:szCs w:val="32"/>
          <w:shd w:val="clear" w:color="auto" w:fill="FFFFFF"/>
        </w:rPr>
        <w:t> </w:t>
      </w:r>
    </w:p>
    <w:p w:rsidR="0043781F" w:rsidRDefault="0043781F">
      <w:pPr>
        <w:pStyle w:val="a3"/>
        <w:widowControl/>
        <w:shd w:val="clear" w:color="auto" w:fill="FFFFFF"/>
        <w:spacing w:beforeAutospacing="0" w:afterAutospacing="0" w:line="480" w:lineRule="atLeast"/>
        <w:ind w:firstLine="504"/>
        <w:rPr>
          <w:color w:val="666666"/>
          <w:sz w:val="32"/>
          <w:szCs w:val="32"/>
        </w:rPr>
      </w:pPr>
    </w:p>
    <w:p w:rsidR="0043781F" w:rsidRDefault="001F60FB">
      <w:pPr>
        <w:pStyle w:val="a3"/>
        <w:widowControl/>
        <w:shd w:val="clear" w:color="auto" w:fill="FFFFFF"/>
        <w:spacing w:beforeAutospacing="0" w:afterAutospacing="0" w:line="480" w:lineRule="atLeast"/>
        <w:ind w:firstLine="2268"/>
        <w:rPr>
          <w:color w:val="666666"/>
          <w:sz w:val="32"/>
          <w:szCs w:val="32"/>
        </w:rPr>
      </w:pPr>
      <w:r>
        <w:rPr>
          <w:rFonts w:ascii="仿宋_GB2312" w:eastAsia="仿宋_GB2312" w:hAnsi="微软雅黑" w:cs="仿宋_GB2312"/>
          <w:color w:val="666666"/>
          <w:sz w:val="32"/>
          <w:szCs w:val="32"/>
          <w:shd w:val="clear" w:color="auto" w:fill="FFFFFF"/>
        </w:rPr>
        <w:t> </w:t>
      </w:r>
      <w:r>
        <w:rPr>
          <w:rFonts w:ascii="仿宋_GB2312" w:eastAsia="仿宋_GB2312" w:hAnsi="微软雅黑" w:cs="仿宋_GB2312"/>
          <w:color w:val="666666"/>
          <w:sz w:val="32"/>
          <w:szCs w:val="32"/>
          <w:shd w:val="clear" w:color="auto" w:fill="FFFFFF"/>
        </w:rPr>
        <w:t xml:space="preserve"> </w:t>
      </w:r>
      <w:r>
        <w:rPr>
          <w:rFonts w:ascii="仿宋_GB2312" w:eastAsia="仿宋_GB2312" w:hAnsi="微软雅黑" w:cs="仿宋_GB2312"/>
          <w:color w:val="666666"/>
          <w:sz w:val="32"/>
          <w:szCs w:val="32"/>
          <w:shd w:val="clear" w:color="auto" w:fill="FFFFFF"/>
        </w:rPr>
        <w:t> </w:t>
      </w:r>
      <w:r>
        <w:rPr>
          <w:rFonts w:ascii="仿宋_GB2312" w:eastAsia="仿宋_GB2312" w:hAnsi="微软雅黑" w:cs="仿宋_GB2312"/>
          <w:color w:val="666666"/>
          <w:sz w:val="32"/>
          <w:szCs w:val="32"/>
          <w:shd w:val="clear" w:color="auto" w:fill="FFFFFF"/>
        </w:rPr>
        <w:t xml:space="preserve"> </w:t>
      </w:r>
      <w:r>
        <w:rPr>
          <w:rFonts w:ascii="仿宋_GB2312" w:eastAsia="仿宋_GB2312" w:hAnsi="微软雅黑" w:cs="仿宋_GB2312"/>
          <w:color w:val="666666"/>
          <w:sz w:val="32"/>
          <w:szCs w:val="32"/>
          <w:shd w:val="clear" w:color="auto" w:fill="FFFFFF"/>
        </w:rPr>
        <w:t> </w:t>
      </w:r>
      <w:r>
        <w:rPr>
          <w:rFonts w:ascii="仿宋_GB2312" w:eastAsia="仿宋_GB2312" w:hAnsi="微软雅黑" w:cs="仿宋_GB2312"/>
          <w:color w:val="666666"/>
          <w:sz w:val="32"/>
          <w:szCs w:val="32"/>
          <w:shd w:val="clear" w:color="auto" w:fill="FFFFFF"/>
        </w:rPr>
        <w:t xml:space="preserve"> </w:t>
      </w:r>
      <w:r>
        <w:rPr>
          <w:rFonts w:ascii="仿宋_GB2312" w:eastAsia="仿宋_GB2312" w:hAnsi="微软雅黑" w:cs="仿宋_GB2312"/>
          <w:color w:val="666666"/>
          <w:sz w:val="32"/>
          <w:szCs w:val="32"/>
          <w:shd w:val="clear" w:color="auto" w:fill="FFFFFF"/>
        </w:rPr>
        <w:t> </w:t>
      </w:r>
      <w:r>
        <w:rPr>
          <w:rFonts w:ascii="仿宋_GB2312" w:eastAsia="仿宋_GB2312" w:hAnsi="微软雅黑" w:cs="仿宋_GB2312"/>
          <w:color w:val="666666"/>
          <w:sz w:val="32"/>
          <w:szCs w:val="32"/>
          <w:shd w:val="clear" w:color="auto" w:fill="FFFFFF"/>
        </w:rPr>
        <w:t xml:space="preserve"> </w:t>
      </w:r>
      <w:r>
        <w:rPr>
          <w:rFonts w:ascii="仿宋_GB2312" w:eastAsia="仿宋_GB2312" w:hAnsi="微软雅黑" w:cs="仿宋_GB2312" w:hint="eastAsia"/>
          <w:color w:val="666666"/>
          <w:sz w:val="32"/>
          <w:szCs w:val="32"/>
          <w:shd w:val="clear" w:color="auto" w:fill="FFFFFF"/>
        </w:rPr>
        <w:t xml:space="preserve">　</w:t>
      </w:r>
      <w:r w:rsidR="003C76B0">
        <w:rPr>
          <w:rFonts w:ascii="仿宋_GB2312" w:eastAsia="仿宋_GB2312" w:hAnsi="微软雅黑" w:cs="仿宋_GB2312" w:hint="eastAsia"/>
          <w:color w:val="666666"/>
          <w:sz w:val="32"/>
          <w:szCs w:val="32"/>
          <w:shd w:val="clear" w:color="auto" w:fill="FFFFFF"/>
        </w:rPr>
        <w:t>镇安县</w:t>
      </w:r>
      <w:r>
        <w:rPr>
          <w:rFonts w:ascii="仿宋_GB2312" w:eastAsia="仿宋_GB2312" w:hAnsi="微软雅黑" w:cs="仿宋_GB2312"/>
          <w:color w:val="666666"/>
          <w:sz w:val="32"/>
          <w:szCs w:val="32"/>
          <w:shd w:val="clear" w:color="auto" w:fill="FFFFFF"/>
        </w:rPr>
        <w:t>农业机械化发展中心</w:t>
      </w:r>
    </w:p>
    <w:p w:rsidR="0043781F" w:rsidRDefault="0043781F">
      <w:pPr>
        <w:pStyle w:val="a3"/>
        <w:widowControl/>
        <w:spacing w:beforeAutospacing="0" w:afterAutospacing="0" w:line="302" w:lineRule="atLeast"/>
        <w:ind w:firstLine="420"/>
        <w:rPr>
          <w:color w:val="666666"/>
          <w:sz w:val="16"/>
          <w:szCs w:val="16"/>
        </w:rPr>
      </w:pPr>
    </w:p>
    <w:p w:rsidR="0043781F" w:rsidRDefault="0043781F"/>
    <w:sectPr w:rsidR="0043781F" w:rsidSect="004378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0FB" w:rsidRDefault="001F60FB" w:rsidP="003C76B0">
      <w:r>
        <w:separator/>
      </w:r>
    </w:p>
  </w:endnote>
  <w:endnote w:type="continuationSeparator" w:id="0">
    <w:p w:rsidR="001F60FB" w:rsidRDefault="001F60FB" w:rsidP="003C7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0FB" w:rsidRDefault="001F60FB" w:rsidP="003C76B0">
      <w:r>
        <w:separator/>
      </w:r>
    </w:p>
  </w:footnote>
  <w:footnote w:type="continuationSeparator" w:id="0">
    <w:p w:rsidR="001F60FB" w:rsidRDefault="001F60FB" w:rsidP="003C7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49EF0895"/>
    <w:rsid w:val="001F60FB"/>
    <w:rsid w:val="003C76B0"/>
    <w:rsid w:val="0043781F"/>
    <w:rsid w:val="01754FFF"/>
    <w:rsid w:val="3B80298C"/>
    <w:rsid w:val="49EF0895"/>
    <w:rsid w:val="6A054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781F"/>
    <w:pPr>
      <w:spacing w:beforeAutospacing="1" w:afterAutospacing="1"/>
      <w:jc w:val="left"/>
    </w:pPr>
    <w:rPr>
      <w:rFonts w:cs="Times New Roman"/>
      <w:kern w:val="0"/>
      <w:sz w:val="24"/>
    </w:rPr>
  </w:style>
  <w:style w:type="character" w:styleId="a4">
    <w:name w:val="Hyperlink"/>
    <w:basedOn w:val="a0"/>
    <w:rsid w:val="0043781F"/>
    <w:rPr>
      <w:color w:val="0000FF"/>
      <w:u w:val="single"/>
    </w:rPr>
  </w:style>
  <w:style w:type="paragraph" w:styleId="a5">
    <w:name w:val="header"/>
    <w:basedOn w:val="a"/>
    <w:link w:val="Char"/>
    <w:rsid w:val="003C7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C76B0"/>
    <w:rPr>
      <w:rFonts w:asciiTheme="minorHAnsi" w:eastAsiaTheme="minorEastAsia" w:hAnsiTheme="minorHAnsi" w:cstheme="minorBidi"/>
      <w:kern w:val="2"/>
      <w:sz w:val="18"/>
      <w:szCs w:val="18"/>
    </w:rPr>
  </w:style>
  <w:style w:type="paragraph" w:styleId="a6">
    <w:name w:val="footer"/>
    <w:basedOn w:val="a"/>
    <w:link w:val="Char0"/>
    <w:rsid w:val="003C76B0"/>
    <w:pPr>
      <w:tabs>
        <w:tab w:val="center" w:pos="4153"/>
        <w:tab w:val="right" w:pos="8306"/>
      </w:tabs>
      <w:snapToGrid w:val="0"/>
      <w:jc w:val="left"/>
    </w:pPr>
    <w:rPr>
      <w:sz w:val="18"/>
      <w:szCs w:val="18"/>
    </w:rPr>
  </w:style>
  <w:style w:type="character" w:customStyle="1" w:styleId="Char0">
    <w:name w:val="页脚 Char"/>
    <w:basedOn w:val="a0"/>
    <w:link w:val="a6"/>
    <w:rsid w:val="003C76B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2022-02-22T02:27:00Z</dcterms:created>
  <dcterms:modified xsi:type="dcterms:W3CDTF">2023-09-25T03:30:00Z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B30AE451CF1B402398E5C7EB4E93F631</vt:lpwstr>
  </property>
</Properties>
</file>